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3F7A9" w14:textId="44500BB7" w:rsidR="00CE39BB" w:rsidRPr="00A227BC" w:rsidRDefault="006865D9" w:rsidP="00A227BC">
      <w:pPr>
        <w:jc w:val="center"/>
        <w:rPr>
          <w:b/>
          <w:bCs/>
        </w:rPr>
      </w:pPr>
      <w:r w:rsidRPr="00A227BC">
        <w:rPr>
          <w:b/>
          <w:bCs/>
        </w:rPr>
        <w:t>Notes from SA3LI#</w:t>
      </w:r>
      <w:r w:rsidR="009807B4">
        <w:rPr>
          <w:b/>
          <w:bCs/>
        </w:rPr>
        <w:t>92</w:t>
      </w:r>
    </w:p>
    <w:p w14:paraId="6A438846" w14:textId="3BCFC411" w:rsidR="00A227BC" w:rsidRDefault="00A227BC"/>
    <w:p w14:paraId="1683AAD5" w14:textId="4390C5A0" w:rsidR="00C15BDB" w:rsidRDefault="00C15BDB" w:rsidP="00C15BDB">
      <w:r>
        <w:t>Tdoc 055: the group endorsed the option to split TR 33.929 into a multipart TS</w:t>
      </w:r>
      <w:r>
        <w:t>.</w:t>
      </w:r>
    </w:p>
    <w:p w14:paraId="543D6B45" w14:textId="23FA6C3C" w:rsidR="00C15BDB" w:rsidRDefault="00C15BDB" w:rsidP="00C15BDB">
      <w:r>
        <w:t>Tdoc 057: formally noted, however it was agreed to consult ETSI CTI and the Director of ETSI Operations with a request of clarification on this matter; in addition, SA3LI considered that it would be appropriate that SA Plenary provided guidance on this matter</w:t>
      </w:r>
      <w:r>
        <w:t>.</w:t>
      </w:r>
    </w:p>
    <w:sectPr w:rsidR="00C15B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D9"/>
    <w:rsid w:val="003F7D92"/>
    <w:rsid w:val="004C0F94"/>
    <w:rsid w:val="006865D9"/>
    <w:rsid w:val="009807B4"/>
    <w:rsid w:val="00A227BC"/>
    <w:rsid w:val="00C15BDB"/>
    <w:rsid w:val="00CE39BB"/>
    <w:rsid w:val="00E9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A72BE"/>
  <w15:chartTrackingRefBased/>
  <w15:docId w15:val="{19EFDBC0-8A88-4AF7-9149-EC73CFDD8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7</cp:revision>
  <dcterms:created xsi:type="dcterms:W3CDTF">2023-03-14T14:21:00Z</dcterms:created>
  <dcterms:modified xsi:type="dcterms:W3CDTF">2024-03-05T11:18:00Z</dcterms:modified>
</cp:coreProperties>
</file>